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56ACB" w14:textId="0F86CE8F" w:rsidR="0038255E" w:rsidRPr="0038255E" w:rsidRDefault="0038255E" w:rsidP="00BB7FC3">
      <w:pPr>
        <w:spacing w:before="100" w:beforeAutospacing="1" w:after="100" w:afterAutospacing="1" w:line="240" w:lineRule="auto"/>
        <w:jc w:val="both"/>
        <w:outlineLvl w:val="0"/>
        <w:rPr>
          <w:rFonts w:ascii="Times New Roman" w:eastAsia="Times New Roman" w:hAnsi="Times New Roman" w:cs="Times New Roman"/>
          <w:b/>
          <w:bCs/>
          <w:kern w:val="36"/>
          <w:sz w:val="44"/>
          <w:szCs w:val="44"/>
          <w:lang w:eastAsia="en-IN"/>
        </w:rPr>
      </w:pPr>
      <w:r w:rsidRPr="0038255E">
        <w:rPr>
          <w:rFonts w:ascii="Times New Roman" w:eastAsia="Times New Roman" w:hAnsi="Times New Roman" w:cs="Times New Roman"/>
          <w:b/>
          <w:bCs/>
          <w:kern w:val="36"/>
          <w:sz w:val="44"/>
          <w:szCs w:val="44"/>
          <w:lang w:eastAsia="en-IN"/>
        </w:rPr>
        <w:t>Homoeopathy: An Integrated Approach Through the Practitioner's Perspective</w:t>
      </w:r>
    </w:p>
    <w:p w14:paraId="41AF0224" w14:textId="6965D6D0" w:rsidR="0038255E" w:rsidRPr="0038255E" w:rsidRDefault="0038255E" w:rsidP="00BB7FC3">
      <w:pPr>
        <w:spacing w:before="100" w:beforeAutospacing="1" w:after="100" w:afterAutospacing="1" w:line="240" w:lineRule="auto"/>
        <w:jc w:val="center"/>
        <w:outlineLvl w:val="0"/>
        <w:rPr>
          <w:rFonts w:ascii="Times New Roman" w:eastAsia="Times New Roman" w:hAnsi="Times New Roman" w:cs="Times New Roman"/>
          <w:b/>
          <w:bCs/>
          <w:i/>
          <w:iCs/>
          <w:kern w:val="36"/>
          <w:sz w:val="36"/>
          <w:szCs w:val="36"/>
          <w:lang w:eastAsia="en-IN"/>
        </w:rPr>
      </w:pPr>
      <w:r w:rsidRPr="0038255E">
        <w:rPr>
          <w:rFonts w:ascii="Times New Roman" w:eastAsia="Times New Roman" w:hAnsi="Times New Roman" w:cs="Times New Roman"/>
          <w:b/>
          <w:bCs/>
          <w:i/>
          <w:iCs/>
          <w:kern w:val="36"/>
          <w:sz w:val="36"/>
          <w:szCs w:val="36"/>
          <w:lang w:eastAsia="en-IN"/>
        </w:rPr>
        <w:t>By: Dr Prof. Neeraj Gupta, Principal/HOD, NHMC</w:t>
      </w:r>
    </w:p>
    <w:p w14:paraId="4B3EBF45"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Healing Beyond Symptoms: A Holistic Vision of Healthcare</w:t>
      </w:r>
    </w:p>
    <w:p w14:paraId="413C9105"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In today's rapidly evolving healthcare landscape, patients are increasingly seeking treatment approaches that not only address disease but also promote overall well-being. While modern medicine has made remarkable advances in diagnosing and managing illnesses, many health challenges—especially chronic conditions—require a more comprehensive understanding of the individual. This is where Homoeopathy offers a unique and valuable perspective.</w:t>
      </w:r>
    </w:p>
    <w:p w14:paraId="4B9451F8" w14:textId="551EE6A6"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From a practitioner's viewpoint, Homoeopathy is much more than a system of medicine. It is an integrated, patient-</w:t>
      </w:r>
      <w:r w:rsidRPr="0038255E">
        <w:rPr>
          <w:rFonts w:ascii="Times New Roman" w:eastAsia="Times New Roman" w:hAnsi="Times New Roman" w:cs="Times New Roman"/>
          <w:sz w:val="24"/>
          <w:szCs w:val="24"/>
          <w:lang w:eastAsia="en-IN"/>
        </w:rPr>
        <w:t>centred</w:t>
      </w:r>
      <w:r w:rsidRPr="0038255E">
        <w:rPr>
          <w:rFonts w:ascii="Times New Roman" w:eastAsia="Times New Roman" w:hAnsi="Times New Roman" w:cs="Times New Roman"/>
          <w:sz w:val="24"/>
          <w:szCs w:val="24"/>
          <w:lang w:eastAsia="en-IN"/>
        </w:rPr>
        <w:t xml:space="preserve"> approach that considers the physical, mental, emotional, social, and environmental aspects of health. Rather than focusing solely on a disease diagnosis, the homoeopathic practitioner strives to understand the person behind the illness and facilitate healing at multiple levels.</w:t>
      </w:r>
    </w:p>
    <w:p w14:paraId="1419792E"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Understanding the Integrated Philosophy of Homoeopathy</w:t>
      </w:r>
    </w:p>
    <w:p w14:paraId="304A8446"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The foundation of Homoeopathy lies in the principle of treating the individual as a whole. Every patient presents a unique combination of symptoms, experiences, emotions, lifestyle habits, and health challenges. Therefore, two individuals suffering from the same medical condition may require entirely different treatment approaches.</w:t>
      </w:r>
    </w:p>
    <w:p w14:paraId="35C12B80"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An integrated homoeopathic assessment considers:</w:t>
      </w:r>
    </w:p>
    <w:p w14:paraId="4EAE9E92" w14:textId="77777777" w:rsidR="0038255E" w:rsidRPr="0038255E" w:rsidRDefault="0038255E" w:rsidP="0038255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Physical symptoms and disease manifestations </w:t>
      </w:r>
    </w:p>
    <w:p w14:paraId="1C063569" w14:textId="77777777" w:rsidR="0038255E" w:rsidRPr="0038255E" w:rsidRDefault="0038255E" w:rsidP="0038255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Mental and emotional well-being </w:t>
      </w:r>
    </w:p>
    <w:p w14:paraId="353BC5FA" w14:textId="77777777" w:rsidR="0038255E" w:rsidRPr="0038255E" w:rsidRDefault="0038255E" w:rsidP="0038255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Constitutional characteristics and temperament </w:t>
      </w:r>
    </w:p>
    <w:p w14:paraId="5126D093" w14:textId="77777777" w:rsidR="0038255E" w:rsidRPr="0038255E" w:rsidRDefault="0038255E" w:rsidP="0038255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Lifestyle and dietary habits </w:t>
      </w:r>
    </w:p>
    <w:p w14:paraId="591C7F8D" w14:textId="77777777" w:rsidR="0038255E" w:rsidRPr="0038255E" w:rsidRDefault="0038255E" w:rsidP="0038255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Environmental influences </w:t>
      </w:r>
    </w:p>
    <w:p w14:paraId="3556307F" w14:textId="77777777" w:rsidR="0038255E" w:rsidRPr="0038255E" w:rsidRDefault="0038255E" w:rsidP="0038255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Family and hereditary tendencies </w:t>
      </w:r>
    </w:p>
    <w:p w14:paraId="468F3DAC" w14:textId="77777777" w:rsidR="0038255E" w:rsidRPr="0038255E" w:rsidRDefault="0038255E" w:rsidP="0038255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Social and occupational stressors </w:t>
      </w:r>
    </w:p>
    <w:p w14:paraId="003DB88B"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This comprehensive evaluation allows practitioners to gain deeper insights into the factors contributing to illness and helps formulate individualized treatment plans.</w:t>
      </w:r>
    </w:p>
    <w:p w14:paraId="5ADD63CB"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The Art of Comprehensive Case Taking</w:t>
      </w:r>
    </w:p>
    <w:p w14:paraId="7A4A3E88"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One of the most distinctive features of homoeopathic practice is detailed case taking. Unlike conventional consultations that may primarily focus on immediate symptoms, homoeopathic consultations often involve an extensive exploration of the patient's overall health.</w:t>
      </w:r>
    </w:p>
    <w:p w14:paraId="0D4DE331"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Practitioners seek to understand:</w:t>
      </w:r>
    </w:p>
    <w:p w14:paraId="001184FA" w14:textId="77777777" w:rsidR="0038255E" w:rsidRP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8255E">
        <w:rPr>
          <w:rFonts w:ascii="Times New Roman" w:eastAsia="Times New Roman" w:hAnsi="Times New Roman" w:cs="Times New Roman"/>
          <w:b/>
          <w:bCs/>
          <w:sz w:val="27"/>
          <w:szCs w:val="27"/>
          <w:lang w:eastAsia="en-IN"/>
        </w:rPr>
        <w:lastRenderedPageBreak/>
        <w:t>Physical Health Patterns</w:t>
      </w:r>
    </w:p>
    <w:p w14:paraId="3B272ACF" w14:textId="77777777" w:rsidR="0038255E" w:rsidRPr="0038255E" w:rsidRDefault="0038255E" w:rsidP="0038255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Nature and progression of symptoms </w:t>
      </w:r>
    </w:p>
    <w:p w14:paraId="68A225AF" w14:textId="77777777" w:rsidR="0038255E" w:rsidRPr="0038255E" w:rsidRDefault="0038255E" w:rsidP="0038255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Factors that aggravate or relieve complaints </w:t>
      </w:r>
    </w:p>
    <w:p w14:paraId="2F8C93ED" w14:textId="77777777" w:rsidR="0038255E" w:rsidRPr="0038255E" w:rsidRDefault="0038255E" w:rsidP="0038255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Sleep patterns </w:t>
      </w:r>
    </w:p>
    <w:p w14:paraId="3F13AD69" w14:textId="77777777" w:rsidR="0038255E" w:rsidRPr="0038255E" w:rsidRDefault="0038255E" w:rsidP="0038255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Appetite and thirst </w:t>
      </w:r>
    </w:p>
    <w:p w14:paraId="70F06577" w14:textId="77777777" w:rsidR="0038255E" w:rsidRPr="0038255E" w:rsidRDefault="0038255E" w:rsidP="0038255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Digestive functions </w:t>
      </w:r>
    </w:p>
    <w:p w14:paraId="51717BA4" w14:textId="77777777" w:rsidR="0038255E" w:rsidRPr="0038255E" w:rsidRDefault="0038255E" w:rsidP="0038255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Energy levels </w:t>
      </w:r>
    </w:p>
    <w:p w14:paraId="09A134B3" w14:textId="77777777" w:rsidR="0038255E" w:rsidRPr="0038255E" w:rsidRDefault="0038255E" w:rsidP="0038255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Hormonal and metabolic health </w:t>
      </w:r>
    </w:p>
    <w:p w14:paraId="086F5CA5" w14:textId="77777777" w:rsidR="0038255E" w:rsidRP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8255E">
        <w:rPr>
          <w:rFonts w:ascii="Times New Roman" w:eastAsia="Times New Roman" w:hAnsi="Times New Roman" w:cs="Times New Roman"/>
          <w:b/>
          <w:bCs/>
          <w:sz w:val="27"/>
          <w:szCs w:val="27"/>
          <w:lang w:eastAsia="en-IN"/>
        </w:rPr>
        <w:t>Mental and Emotional State</w:t>
      </w:r>
    </w:p>
    <w:p w14:paraId="3341E076" w14:textId="77777777" w:rsidR="0038255E" w:rsidRPr="0038255E" w:rsidRDefault="0038255E" w:rsidP="0038255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Stress and anxiety levels </w:t>
      </w:r>
    </w:p>
    <w:p w14:paraId="014CE364" w14:textId="77777777" w:rsidR="0038255E" w:rsidRPr="0038255E" w:rsidRDefault="0038255E" w:rsidP="0038255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Emotional sensitivities </w:t>
      </w:r>
    </w:p>
    <w:p w14:paraId="7DBC229B" w14:textId="77777777" w:rsidR="0038255E" w:rsidRPr="0038255E" w:rsidRDefault="0038255E" w:rsidP="0038255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Fears and concerns </w:t>
      </w:r>
    </w:p>
    <w:p w14:paraId="358885C1" w14:textId="77777777" w:rsidR="0038255E" w:rsidRPr="0038255E" w:rsidRDefault="0038255E" w:rsidP="0038255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38255E">
        <w:rPr>
          <w:rFonts w:ascii="Times New Roman" w:eastAsia="Times New Roman" w:hAnsi="Times New Roman" w:cs="Times New Roman"/>
          <w:sz w:val="24"/>
          <w:szCs w:val="24"/>
          <w:lang w:eastAsia="en-IN"/>
        </w:rPr>
        <w:t>Behavioral</w:t>
      </w:r>
      <w:proofErr w:type="spellEnd"/>
      <w:r w:rsidRPr="0038255E">
        <w:rPr>
          <w:rFonts w:ascii="Times New Roman" w:eastAsia="Times New Roman" w:hAnsi="Times New Roman" w:cs="Times New Roman"/>
          <w:sz w:val="24"/>
          <w:szCs w:val="24"/>
          <w:lang w:eastAsia="en-IN"/>
        </w:rPr>
        <w:t xml:space="preserve"> tendencies </w:t>
      </w:r>
    </w:p>
    <w:p w14:paraId="517FFC47" w14:textId="77777777" w:rsidR="0038255E" w:rsidRPr="0038255E" w:rsidRDefault="0038255E" w:rsidP="0038255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Coping mechanisms </w:t>
      </w:r>
    </w:p>
    <w:p w14:paraId="35FE0E5A" w14:textId="77777777" w:rsidR="0038255E" w:rsidRPr="0038255E" w:rsidRDefault="0038255E" w:rsidP="0038255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Interpersonal relationships </w:t>
      </w:r>
    </w:p>
    <w:p w14:paraId="6E797560" w14:textId="77777777" w:rsidR="0038255E" w:rsidRP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8255E">
        <w:rPr>
          <w:rFonts w:ascii="Times New Roman" w:eastAsia="Times New Roman" w:hAnsi="Times New Roman" w:cs="Times New Roman"/>
          <w:b/>
          <w:bCs/>
          <w:sz w:val="27"/>
          <w:szCs w:val="27"/>
          <w:lang w:eastAsia="en-IN"/>
        </w:rPr>
        <w:t>Personal and Family History</w:t>
      </w:r>
    </w:p>
    <w:p w14:paraId="4498C62E" w14:textId="77777777" w:rsidR="0038255E" w:rsidRPr="0038255E" w:rsidRDefault="0038255E" w:rsidP="0038255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Past illnesses and treatments </w:t>
      </w:r>
    </w:p>
    <w:p w14:paraId="33F7B88A" w14:textId="77777777" w:rsidR="0038255E" w:rsidRPr="0038255E" w:rsidRDefault="0038255E" w:rsidP="0038255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Family history of chronic diseases </w:t>
      </w:r>
    </w:p>
    <w:p w14:paraId="416F5A34" w14:textId="77777777" w:rsidR="0038255E" w:rsidRPr="0038255E" w:rsidRDefault="0038255E" w:rsidP="0038255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Childhood health experiences </w:t>
      </w:r>
    </w:p>
    <w:p w14:paraId="67E44F16" w14:textId="77777777" w:rsidR="0038255E" w:rsidRPr="0038255E" w:rsidRDefault="0038255E" w:rsidP="0038255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Genetic predispositions </w:t>
      </w:r>
    </w:p>
    <w:p w14:paraId="3CBAE2CC"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This holistic assessment enables the practitioner to identify the unique characteristics of each patient and tailor treatment accordingly.</w:t>
      </w:r>
    </w:p>
    <w:p w14:paraId="689B83D9"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Individualization: The Heart of Homoeopathic Practice</w:t>
      </w:r>
    </w:p>
    <w:p w14:paraId="311E1092"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One of the core principles of Homoeopathy is individualization. The practitioner does not merely ask, "What disease does the patient have?" but also seeks to understand, "How is this disease affecting this particular individual?"</w:t>
      </w:r>
    </w:p>
    <w:p w14:paraId="696E8ABA"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This approach recognizes that health and illness are deeply personal experiences. The selected remedy is based on the totality of symptoms and the patient's unique response to illness rather than solely on the disease label.</w:t>
      </w:r>
    </w:p>
    <w:p w14:paraId="50CCEBAB"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Interestingly, this philosophy aligns with modern concepts of personalized medicine, which emphasize customized healthcare based on individual characteristics and responses.</w:t>
      </w:r>
    </w:p>
    <w:p w14:paraId="6079E0C0"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Addressing the Whole Person</w:t>
      </w:r>
    </w:p>
    <w:p w14:paraId="3EB01997"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Homoeopathy adopts a multidimensional view of health that extends beyond physical symptoms.</w:t>
      </w:r>
    </w:p>
    <w:p w14:paraId="6A2DEB06" w14:textId="77777777" w:rsid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p>
    <w:p w14:paraId="04D288A8" w14:textId="60F32060" w:rsidR="0038255E" w:rsidRP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8255E">
        <w:rPr>
          <w:rFonts w:ascii="Times New Roman" w:eastAsia="Times New Roman" w:hAnsi="Times New Roman" w:cs="Times New Roman"/>
          <w:b/>
          <w:bCs/>
          <w:sz w:val="27"/>
          <w:szCs w:val="27"/>
          <w:lang w:eastAsia="en-IN"/>
        </w:rPr>
        <w:lastRenderedPageBreak/>
        <w:t>Physical Dimension</w:t>
      </w:r>
    </w:p>
    <w:p w14:paraId="1BD13D7F"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The practitioner evaluates functional disturbances, organ involvement, immune responses, and overall vitality.</w:t>
      </w:r>
    </w:p>
    <w:p w14:paraId="4530E7E9" w14:textId="77777777" w:rsidR="0038255E" w:rsidRP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8255E">
        <w:rPr>
          <w:rFonts w:ascii="Times New Roman" w:eastAsia="Times New Roman" w:hAnsi="Times New Roman" w:cs="Times New Roman"/>
          <w:b/>
          <w:bCs/>
          <w:sz w:val="27"/>
          <w:szCs w:val="27"/>
          <w:lang w:eastAsia="en-IN"/>
        </w:rPr>
        <w:t>Mental and Emotional Dimension</w:t>
      </w:r>
    </w:p>
    <w:p w14:paraId="003DA705"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Emotional well-being is considered a crucial component of health. Stress, anxiety, grief, emotional trauma, and psychological resilience are all important aspects of assessment.</w:t>
      </w:r>
    </w:p>
    <w:p w14:paraId="583D2855" w14:textId="77777777" w:rsidR="0038255E" w:rsidRP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8255E">
        <w:rPr>
          <w:rFonts w:ascii="Times New Roman" w:eastAsia="Times New Roman" w:hAnsi="Times New Roman" w:cs="Times New Roman"/>
          <w:b/>
          <w:bCs/>
          <w:sz w:val="27"/>
          <w:szCs w:val="27"/>
          <w:lang w:eastAsia="en-IN"/>
        </w:rPr>
        <w:t>Social Dimension</w:t>
      </w:r>
    </w:p>
    <w:p w14:paraId="3D412397"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Family relationships, workplace pressures, social interactions, and support systems often influence health outcomes and are therefore considered during treatment planning.</w:t>
      </w:r>
    </w:p>
    <w:p w14:paraId="06FF3080" w14:textId="77777777" w:rsidR="0038255E" w:rsidRPr="0038255E" w:rsidRDefault="0038255E" w:rsidP="0038255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8255E">
        <w:rPr>
          <w:rFonts w:ascii="Times New Roman" w:eastAsia="Times New Roman" w:hAnsi="Times New Roman" w:cs="Times New Roman"/>
          <w:b/>
          <w:bCs/>
          <w:sz w:val="27"/>
          <w:szCs w:val="27"/>
          <w:lang w:eastAsia="en-IN"/>
        </w:rPr>
        <w:t>Environmental Dimension</w:t>
      </w:r>
    </w:p>
    <w:p w14:paraId="06F44D69"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Living conditions, climate, dietary habits, pollution exposure, and daily routines can contribute significantly to health and disease patterns.</w:t>
      </w:r>
    </w:p>
    <w:p w14:paraId="654A5D61"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By integrating these dimensions, Homoeopathy seeks to address the underlying factors that may be influencing an individual's health.</w:t>
      </w:r>
    </w:p>
    <w:p w14:paraId="70ED40D4"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Homoeopathy and Preventive Healthcare</w:t>
      </w:r>
    </w:p>
    <w:p w14:paraId="58DD091D"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Prevention is a cornerstone of sustainable healthcare. Homoeopathic practitioners often place strong emphasis on health promotion and disease prevention through patient education and lifestyle guidance.</w:t>
      </w:r>
    </w:p>
    <w:p w14:paraId="32B3805E"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Key preventive strategies include:</w:t>
      </w:r>
    </w:p>
    <w:p w14:paraId="2B506008" w14:textId="77777777" w:rsidR="0038255E" w:rsidRPr="0038255E" w:rsidRDefault="0038255E" w:rsidP="003825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Encouraging balanced nutrition </w:t>
      </w:r>
    </w:p>
    <w:p w14:paraId="4580CA21" w14:textId="77777777" w:rsidR="0038255E" w:rsidRPr="0038255E" w:rsidRDefault="0038255E" w:rsidP="003825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Promoting adequate sleep and rest </w:t>
      </w:r>
    </w:p>
    <w:p w14:paraId="78D728CE" w14:textId="77777777" w:rsidR="0038255E" w:rsidRPr="0038255E" w:rsidRDefault="0038255E" w:rsidP="003825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Supporting regular physical activity </w:t>
      </w:r>
    </w:p>
    <w:p w14:paraId="7145585A" w14:textId="77777777" w:rsidR="0038255E" w:rsidRPr="0038255E" w:rsidRDefault="0038255E" w:rsidP="003825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Teaching stress-management techniques </w:t>
      </w:r>
    </w:p>
    <w:p w14:paraId="0C5B55BB" w14:textId="77777777" w:rsidR="0038255E" w:rsidRPr="0038255E" w:rsidRDefault="0038255E" w:rsidP="003825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Advocating healthy daily routines </w:t>
      </w:r>
    </w:p>
    <w:p w14:paraId="26F4A31A" w14:textId="77777777" w:rsidR="0038255E" w:rsidRPr="0038255E" w:rsidRDefault="0038255E" w:rsidP="0038255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Encouraging mindfulness, yoga, and meditation practices </w:t>
      </w:r>
    </w:p>
    <w:p w14:paraId="1221F0D1"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The objective is not merely to treat disease but to enhance overall vitality and resilience, thereby reducing susceptibility to future health challenges.</w:t>
      </w:r>
    </w:p>
    <w:p w14:paraId="3B2049A2"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Managing Chronic Diseases Through an Integrated Lens</w:t>
      </w:r>
    </w:p>
    <w:p w14:paraId="60B59F2C"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Many chronic diseases involve complex interactions between biological, psychological, environmental, and lifestyle factors. Conditions such as allergies, skin disorders, arthritis, respiratory ailments, digestive disturbances, and stress-related disorders often require long-term management strategies.</w:t>
      </w:r>
    </w:p>
    <w:p w14:paraId="32A8343A"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lastRenderedPageBreak/>
        <w:t>A homoeopathic practitioner evaluates:</w:t>
      </w:r>
    </w:p>
    <w:p w14:paraId="79E8555B" w14:textId="77777777" w:rsidR="0038255E" w:rsidRPr="0038255E" w:rsidRDefault="0038255E" w:rsidP="003825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Disease-specific factors </w:t>
      </w:r>
    </w:p>
    <w:p w14:paraId="611F7E6A" w14:textId="77777777" w:rsidR="0038255E" w:rsidRPr="0038255E" w:rsidRDefault="0038255E" w:rsidP="003825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Lifestyle contributors </w:t>
      </w:r>
    </w:p>
    <w:p w14:paraId="10419A2D" w14:textId="77777777" w:rsidR="0038255E" w:rsidRPr="0038255E" w:rsidRDefault="0038255E" w:rsidP="003825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Emotional stressors </w:t>
      </w:r>
    </w:p>
    <w:p w14:paraId="3FC478E1" w14:textId="77777777" w:rsidR="0038255E" w:rsidRPr="0038255E" w:rsidRDefault="0038255E" w:rsidP="003825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Sleep quality </w:t>
      </w:r>
    </w:p>
    <w:p w14:paraId="6F5E22FB" w14:textId="77777777" w:rsidR="0038255E" w:rsidRPr="0038255E" w:rsidRDefault="0038255E" w:rsidP="003825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Occupational influences </w:t>
      </w:r>
    </w:p>
    <w:p w14:paraId="0970EFD2" w14:textId="77777777" w:rsidR="0038255E" w:rsidRPr="0038255E" w:rsidRDefault="0038255E" w:rsidP="0038255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Environmental triggers </w:t>
      </w:r>
    </w:p>
    <w:p w14:paraId="4CAD0FD9"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This integrated perspective enables a broader understanding of the patient's condition and supports comprehensive care planning.</w:t>
      </w:r>
    </w:p>
    <w:p w14:paraId="2645D964"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The Therapeutic Relationship: A Key Element of Healing</w:t>
      </w:r>
    </w:p>
    <w:p w14:paraId="60B197D5"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One of the most valuable aspects of homoeopathic practice is the strong therapeutic relationship that develops between practitioner and patient.</w:t>
      </w:r>
    </w:p>
    <w:p w14:paraId="181AC3A9"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The extended consultation process encourages:</w:t>
      </w:r>
    </w:p>
    <w:p w14:paraId="55D0F8D8" w14:textId="77777777" w:rsidR="0038255E" w:rsidRPr="0038255E" w:rsidRDefault="0038255E" w:rsidP="003825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Active listening </w:t>
      </w:r>
    </w:p>
    <w:p w14:paraId="4CE75720" w14:textId="77777777" w:rsidR="0038255E" w:rsidRPr="0038255E" w:rsidRDefault="0038255E" w:rsidP="003825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Empathy and understanding </w:t>
      </w:r>
    </w:p>
    <w:p w14:paraId="62064C9A" w14:textId="77777777" w:rsidR="0038255E" w:rsidRPr="0038255E" w:rsidRDefault="0038255E" w:rsidP="003825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Patient participation in healthcare decisions </w:t>
      </w:r>
    </w:p>
    <w:p w14:paraId="26B591F4" w14:textId="77777777" w:rsidR="0038255E" w:rsidRPr="0038255E" w:rsidRDefault="0038255E" w:rsidP="003825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Trust-building </w:t>
      </w:r>
    </w:p>
    <w:p w14:paraId="1EAD0799" w14:textId="77777777" w:rsidR="0038255E" w:rsidRPr="0038255E" w:rsidRDefault="0038255E" w:rsidP="0038255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Greater health awareness </w:t>
      </w:r>
    </w:p>
    <w:p w14:paraId="6F0936C5"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Patients often feel heard and understood, which can positively influence their engagement with treatment and self-care practices.</w:t>
      </w:r>
    </w:p>
    <w:p w14:paraId="4F871AA0"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Integrating Homoeopathy with Modern Healthcare</w:t>
      </w:r>
    </w:p>
    <w:p w14:paraId="0D155E18"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As healthcare increasingly embraces integrative models, there is growing interest in collaborative approaches that combine the strengths of different systems of medicine.</w:t>
      </w:r>
    </w:p>
    <w:p w14:paraId="07C77CC3"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From a practitioner's perspective, Homoeopathy can contribute to integrated healthcare by:</w:t>
      </w:r>
    </w:p>
    <w:p w14:paraId="0B0A079B" w14:textId="77777777" w:rsidR="0038255E" w:rsidRPr="0038255E" w:rsidRDefault="0038255E" w:rsidP="0038255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Supporting patient-</w:t>
      </w:r>
      <w:proofErr w:type="spellStart"/>
      <w:r w:rsidRPr="0038255E">
        <w:rPr>
          <w:rFonts w:ascii="Times New Roman" w:eastAsia="Times New Roman" w:hAnsi="Times New Roman" w:cs="Times New Roman"/>
          <w:sz w:val="24"/>
          <w:szCs w:val="24"/>
          <w:lang w:eastAsia="en-IN"/>
        </w:rPr>
        <w:t>centered</w:t>
      </w:r>
      <w:proofErr w:type="spellEnd"/>
      <w:r w:rsidRPr="0038255E">
        <w:rPr>
          <w:rFonts w:ascii="Times New Roman" w:eastAsia="Times New Roman" w:hAnsi="Times New Roman" w:cs="Times New Roman"/>
          <w:sz w:val="24"/>
          <w:szCs w:val="24"/>
          <w:lang w:eastAsia="en-IN"/>
        </w:rPr>
        <w:t xml:space="preserve"> care </w:t>
      </w:r>
    </w:p>
    <w:p w14:paraId="1AD272B8" w14:textId="77777777" w:rsidR="0038255E" w:rsidRPr="0038255E" w:rsidRDefault="0038255E" w:rsidP="0038255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Encouraging holistic health assessments </w:t>
      </w:r>
    </w:p>
    <w:p w14:paraId="1687B32B" w14:textId="77777777" w:rsidR="0038255E" w:rsidRPr="0038255E" w:rsidRDefault="0038255E" w:rsidP="0038255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Promoting preventive healthcare </w:t>
      </w:r>
    </w:p>
    <w:p w14:paraId="6EF1468B" w14:textId="77777777" w:rsidR="0038255E" w:rsidRPr="0038255E" w:rsidRDefault="0038255E" w:rsidP="0038255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Enhancing patient education </w:t>
      </w:r>
    </w:p>
    <w:p w14:paraId="392C3F1A" w14:textId="77777777" w:rsidR="0038255E" w:rsidRPr="0038255E" w:rsidRDefault="0038255E" w:rsidP="0038255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Addressing lifestyle-related health concerns </w:t>
      </w:r>
    </w:p>
    <w:p w14:paraId="717DA4FB"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Effective communication and collaboration among healthcare professionals can help ensure that patients receive comprehensive and coordinated care tailored to their individual needs.</w:t>
      </w:r>
    </w:p>
    <w:p w14:paraId="15DBF4AD" w14:textId="77777777" w:rsid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p>
    <w:p w14:paraId="4FF3D094" w14:textId="77777777" w:rsid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p>
    <w:p w14:paraId="7C2F1788" w14:textId="324659E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lastRenderedPageBreak/>
        <w:t>Evidence-Informed and Ethical Practice</w:t>
      </w:r>
    </w:p>
    <w:p w14:paraId="35A6C168"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Modern homoeopathic practitioners increasingly recognize the importance of evidence-informed clinical practice. This involves integrating:</w:t>
      </w:r>
    </w:p>
    <w:p w14:paraId="59567624" w14:textId="77777777" w:rsidR="0038255E" w:rsidRPr="0038255E" w:rsidRDefault="0038255E" w:rsidP="0038255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Established homoeopathic principles </w:t>
      </w:r>
    </w:p>
    <w:p w14:paraId="64FF283B" w14:textId="77777777" w:rsidR="0038255E" w:rsidRPr="0038255E" w:rsidRDefault="0038255E" w:rsidP="0038255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Clinical expertise </w:t>
      </w:r>
    </w:p>
    <w:p w14:paraId="2BB74184" w14:textId="77777777" w:rsidR="0038255E" w:rsidRPr="0038255E" w:rsidRDefault="0038255E" w:rsidP="0038255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Patient preferences </w:t>
      </w:r>
    </w:p>
    <w:p w14:paraId="305935E1" w14:textId="77777777" w:rsidR="0038255E" w:rsidRPr="0038255E" w:rsidRDefault="0038255E" w:rsidP="0038255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Available scientific research </w:t>
      </w:r>
    </w:p>
    <w:p w14:paraId="6974B2CE"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Such an approach encourages continuous learning, critical thinking, ethical decision-making, and professional accountability while maintaining the individualized nature of homoeopathic care.</w:t>
      </w:r>
    </w:p>
    <w:p w14:paraId="3CFC8046"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Contributing to Community Health</w:t>
      </w:r>
    </w:p>
    <w:p w14:paraId="3DD1C570"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Beyond individual patient care, Homoeopathy can play a role in broader public health initiatives through:</w:t>
      </w:r>
    </w:p>
    <w:p w14:paraId="33902285" w14:textId="77777777" w:rsidR="0038255E" w:rsidRPr="0038255E" w:rsidRDefault="0038255E" w:rsidP="0038255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Health awareness programs </w:t>
      </w:r>
    </w:p>
    <w:p w14:paraId="3B891113" w14:textId="77777777" w:rsidR="0038255E" w:rsidRPr="0038255E" w:rsidRDefault="0038255E" w:rsidP="0038255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Lifestyle disease prevention campaigns </w:t>
      </w:r>
    </w:p>
    <w:p w14:paraId="1460C7B1" w14:textId="77777777" w:rsidR="0038255E" w:rsidRPr="0038255E" w:rsidRDefault="0038255E" w:rsidP="0038255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Maternal and child health education </w:t>
      </w:r>
    </w:p>
    <w:p w14:paraId="5FD99735" w14:textId="77777777" w:rsidR="0038255E" w:rsidRPr="0038255E" w:rsidRDefault="0038255E" w:rsidP="0038255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Community wellness initiatives </w:t>
      </w:r>
    </w:p>
    <w:p w14:paraId="398AB827" w14:textId="77777777" w:rsidR="0038255E" w:rsidRPr="0038255E" w:rsidRDefault="0038255E" w:rsidP="0038255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Health promotion activities </w:t>
      </w:r>
    </w:p>
    <w:p w14:paraId="19C7793A"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These efforts contribute to the development of healthier communities and support public health objectives.</w:t>
      </w:r>
    </w:p>
    <w:p w14:paraId="14825D5F" w14:textId="77777777"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t>The Future of Homoeopathy in Integrative Healthcare</w:t>
      </w:r>
    </w:p>
    <w:p w14:paraId="6844BAEF"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As healthcare systems worldwide increasingly prioritize personalized, preventive, and holistic care, the principles of Homoeopathy continue to resonate with contemporary healthcare goals.</w:t>
      </w:r>
    </w:p>
    <w:p w14:paraId="2FC45039"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Future opportunities may include:</w:t>
      </w:r>
    </w:p>
    <w:p w14:paraId="194655AE" w14:textId="77777777" w:rsidR="0038255E" w:rsidRPr="0038255E" w:rsidRDefault="0038255E" w:rsidP="0038255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Greater interdisciplinary collaboration </w:t>
      </w:r>
    </w:p>
    <w:p w14:paraId="3A51A5D0" w14:textId="77777777" w:rsidR="0038255E" w:rsidRPr="0038255E" w:rsidRDefault="0038255E" w:rsidP="0038255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Expanded preventive health programs </w:t>
      </w:r>
    </w:p>
    <w:p w14:paraId="6952FFD7" w14:textId="77777777" w:rsidR="0038255E" w:rsidRPr="0038255E" w:rsidRDefault="0038255E" w:rsidP="0038255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Digital health integration </w:t>
      </w:r>
    </w:p>
    <w:p w14:paraId="302DCECC" w14:textId="77777777" w:rsidR="0038255E" w:rsidRPr="0038255E" w:rsidRDefault="0038255E" w:rsidP="0038255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Enhanced patient education </w:t>
      </w:r>
    </w:p>
    <w:p w14:paraId="68632CF7" w14:textId="77777777" w:rsidR="0038255E" w:rsidRPr="0038255E" w:rsidRDefault="0038255E" w:rsidP="0038255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Increased research and evidence generation </w:t>
      </w:r>
    </w:p>
    <w:p w14:paraId="3FC0FD29" w14:textId="77777777" w:rsidR="0038255E" w:rsidRPr="0038255E" w:rsidRDefault="0038255E" w:rsidP="0038255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 xml:space="preserve">Stronger community health engagement </w:t>
      </w:r>
    </w:p>
    <w:p w14:paraId="69BCEA47"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These developments may further strengthen the role of Homoeopathy within integrated healthcare frameworks.</w:t>
      </w:r>
    </w:p>
    <w:p w14:paraId="2130A39F" w14:textId="77777777" w:rsid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p>
    <w:p w14:paraId="0F74A493" w14:textId="5795998D" w:rsidR="0038255E" w:rsidRPr="0038255E" w:rsidRDefault="0038255E" w:rsidP="0038255E">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38255E">
        <w:rPr>
          <w:rFonts w:ascii="Times New Roman" w:eastAsia="Times New Roman" w:hAnsi="Times New Roman" w:cs="Times New Roman"/>
          <w:b/>
          <w:bCs/>
          <w:sz w:val="36"/>
          <w:szCs w:val="36"/>
          <w:lang w:eastAsia="en-IN"/>
        </w:rPr>
        <w:lastRenderedPageBreak/>
        <w:t>Conclusion</w:t>
      </w:r>
    </w:p>
    <w:p w14:paraId="08DA5BC5"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Homoeopathy, when viewed through the practitioner's perspective, represents a truly integrated approach to health and healing. By addressing the physical, mental, emotional, social, and environmental dimensions of health, it seeks to understand the individual in totality rather than focusing solely on disease.</w:t>
      </w:r>
    </w:p>
    <w:p w14:paraId="3BFF492B" w14:textId="517079BB"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sz w:val="24"/>
          <w:szCs w:val="24"/>
          <w:lang w:eastAsia="en-IN"/>
        </w:rPr>
        <w:t>Its emphasis on individualized care, prevention, lifestyle modification, patient engagement, and holistic well-being aligns closely with the evolving vision of modern healthcare. As the demand for patient-</w:t>
      </w:r>
      <w:r w:rsidRPr="0038255E">
        <w:rPr>
          <w:rFonts w:ascii="Times New Roman" w:eastAsia="Times New Roman" w:hAnsi="Times New Roman" w:cs="Times New Roman"/>
          <w:sz w:val="24"/>
          <w:szCs w:val="24"/>
          <w:lang w:eastAsia="en-IN"/>
        </w:rPr>
        <w:t>centred</w:t>
      </w:r>
      <w:r w:rsidRPr="0038255E">
        <w:rPr>
          <w:rFonts w:ascii="Times New Roman" w:eastAsia="Times New Roman" w:hAnsi="Times New Roman" w:cs="Times New Roman"/>
          <w:sz w:val="24"/>
          <w:szCs w:val="24"/>
          <w:lang w:eastAsia="en-IN"/>
        </w:rPr>
        <w:t xml:space="preserve"> and integrative approaches continues to grow, Homoeopathy offers valuable insights into achieving health, balance, and long-term wellness.</w:t>
      </w:r>
    </w:p>
    <w:p w14:paraId="4BA6BDBA" w14:textId="77777777" w:rsidR="0038255E" w:rsidRPr="0038255E" w:rsidRDefault="0038255E" w:rsidP="0038255E">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8255E">
        <w:rPr>
          <w:rFonts w:ascii="Times New Roman" w:eastAsia="Times New Roman" w:hAnsi="Times New Roman" w:cs="Times New Roman"/>
          <w:b/>
          <w:bCs/>
          <w:sz w:val="24"/>
          <w:szCs w:val="24"/>
          <w:lang w:eastAsia="en-IN"/>
        </w:rPr>
        <w:t>Healing is not merely the removal of disease—it is the restoration of harmony within the individual. This philosophy lies at the heart of Homoeopathy and its integrated approach to healthcare.</w:t>
      </w:r>
    </w:p>
    <w:p w14:paraId="1F5DAF64" w14:textId="77777777" w:rsidR="00037117" w:rsidRDefault="00037117" w:rsidP="0038255E">
      <w:pPr>
        <w:jc w:val="both"/>
      </w:pPr>
    </w:p>
    <w:sectPr w:rsidR="0003711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D06A3" w14:textId="77777777" w:rsidR="00CD2793" w:rsidRDefault="00CD2793" w:rsidP="00BB7FC3">
      <w:pPr>
        <w:spacing w:after="0" w:line="240" w:lineRule="auto"/>
      </w:pPr>
      <w:r>
        <w:separator/>
      </w:r>
    </w:p>
  </w:endnote>
  <w:endnote w:type="continuationSeparator" w:id="0">
    <w:p w14:paraId="5916E517" w14:textId="77777777" w:rsidR="00CD2793" w:rsidRDefault="00CD2793" w:rsidP="00BB7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597196"/>
      <w:docPartObj>
        <w:docPartGallery w:val="Page Numbers (Bottom of Page)"/>
        <w:docPartUnique/>
      </w:docPartObj>
    </w:sdtPr>
    <w:sdtEndPr>
      <w:rPr>
        <w:noProof/>
      </w:rPr>
    </w:sdtEndPr>
    <w:sdtContent>
      <w:p w14:paraId="4E9644C5" w14:textId="24516860" w:rsidR="00BB7FC3" w:rsidRDefault="00BB7F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5F0B17" w14:textId="77777777" w:rsidR="00BB7FC3" w:rsidRDefault="00BB7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19957" w14:textId="77777777" w:rsidR="00CD2793" w:rsidRDefault="00CD2793" w:rsidP="00BB7FC3">
      <w:pPr>
        <w:spacing w:after="0" w:line="240" w:lineRule="auto"/>
      </w:pPr>
      <w:r>
        <w:separator/>
      </w:r>
    </w:p>
  </w:footnote>
  <w:footnote w:type="continuationSeparator" w:id="0">
    <w:p w14:paraId="76123FEA" w14:textId="77777777" w:rsidR="00CD2793" w:rsidRDefault="00CD2793" w:rsidP="00BB7F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74ECC"/>
    <w:multiLevelType w:val="multilevel"/>
    <w:tmpl w:val="3714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C23D1"/>
    <w:multiLevelType w:val="multilevel"/>
    <w:tmpl w:val="AA2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C54FC6"/>
    <w:multiLevelType w:val="multilevel"/>
    <w:tmpl w:val="3428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05A1A"/>
    <w:multiLevelType w:val="multilevel"/>
    <w:tmpl w:val="BB40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839B9"/>
    <w:multiLevelType w:val="multilevel"/>
    <w:tmpl w:val="7E449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F34FDD"/>
    <w:multiLevelType w:val="multilevel"/>
    <w:tmpl w:val="4822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D947B8"/>
    <w:multiLevelType w:val="multilevel"/>
    <w:tmpl w:val="50E4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A602EA"/>
    <w:multiLevelType w:val="multilevel"/>
    <w:tmpl w:val="0CB2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626036"/>
    <w:multiLevelType w:val="multilevel"/>
    <w:tmpl w:val="732E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CE7699"/>
    <w:multiLevelType w:val="multilevel"/>
    <w:tmpl w:val="605C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9341D7"/>
    <w:multiLevelType w:val="multilevel"/>
    <w:tmpl w:val="0D0C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8"/>
  </w:num>
  <w:num w:numId="8">
    <w:abstractNumId w:val="7"/>
  </w:num>
  <w:num w:numId="9">
    <w:abstractNumId w:val="5"/>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F5E"/>
    <w:rsid w:val="00037117"/>
    <w:rsid w:val="001D6F5E"/>
    <w:rsid w:val="0038255E"/>
    <w:rsid w:val="00BB7FC3"/>
    <w:rsid w:val="00CD27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95962"/>
  <w15:chartTrackingRefBased/>
  <w15:docId w15:val="{FE66FF8F-F30C-428E-BA8C-E3BD93B0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825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38255E"/>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38255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55E"/>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38255E"/>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38255E"/>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38255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38255E"/>
    <w:rPr>
      <w:b/>
      <w:bCs/>
    </w:rPr>
  </w:style>
  <w:style w:type="paragraph" w:styleId="Header">
    <w:name w:val="header"/>
    <w:basedOn w:val="Normal"/>
    <w:link w:val="HeaderChar"/>
    <w:uiPriority w:val="99"/>
    <w:unhideWhenUsed/>
    <w:rsid w:val="00BB7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FC3"/>
  </w:style>
  <w:style w:type="paragraph" w:styleId="Footer">
    <w:name w:val="footer"/>
    <w:basedOn w:val="Normal"/>
    <w:link w:val="FooterChar"/>
    <w:uiPriority w:val="99"/>
    <w:unhideWhenUsed/>
    <w:rsid w:val="00BB7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1401</Words>
  <Characters>7990</Characters>
  <Application>Microsoft Office Word</Application>
  <DocSecurity>0</DocSecurity>
  <Lines>66</Lines>
  <Paragraphs>18</Paragraphs>
  <ScaleCrop>false</ScaleCrop>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Neeraj Gupta</dc:creator>
  <cp:keywords/>
  <dc:description/>
  <cp:lastModifiedBy>Dr Neeraj Gupta</cp:lastModifiedBy>
  <cp:revision>3</cp:revision>
  <dcterms:created xsi:type="dcterms:W3CDTF">2026-06-16T15:18:00Z</dcterms:created>
  <dcterms:modified xsi:type="dcterms:W3CDTF">2026-06-16T15:21:00Z</dcterms:modified>
</cp:coreProperties>
</file>